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center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8"/>
          <w:szCs w:val="28"/>
          <w:rtl w:val="0"/>
        </w:rPr>
        <w:t xml:space="preserve">Moody´s ratifica la calificación Aa3 de CAF y su perspectiva estable</w:t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La calificadora de riesgo reconoce los altos niveles de liquidez, la buena gestión de activos y capitalización de la institución financiera y destaca su fortaleza para administrar con éxito los riesgos de crédito en el contexto económico actual y futuro.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rtl w:val="0"/>
        </w:rPr>
        <w:t xml:space="preserve">(México, 21 de abril de 2021).</w:t>
      </w: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agencia Moody's reconoció la alta calidad crediticia de CAF -banco de desarrollo de América Latina- al ratificar su calificación Aa3 con perspectiva estable. El informe de Moody's destaca la solidez financiera de la institución, el buen desempeño de sus activos, el compromiso demostrado de los accionistas a través de aumentos constantes de capital y la incorporación de Costa Rica y México como miembros plenos de la institución.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“La sólida fortaleza financiera intrínseca de CAF sigue reflejando un sólido desempeño de los activos y altos niveles de capital pagado que sustentan una sólida suficiencia de capital. La sólida cobertura de liquidez y el amplio acceso a los mercados de capital respaldan la evaluación de Moody's del sólido desempeño de liquidez y financiamiento de CAF”, señala agencia calificadora de riesgo en un comunicado.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El presidente ejecutivo interino de CAF, Renny López, destacó: "La ratificación de Moody´s refleja la solidez financiera de CAF, gracias al apoyo continuo de los países accionistas y la estrategia de ampliar la base de accionistas. La pandemia nos ha puesto a prueba y hemos estado a la altura de las necesidades de los países para apoyar a los latinoamericanos con recursos rápidos y oportunos manteniendo la fortaleza crediticia. Seguiremos apoyando los planes de atención y reactivación como socios incondicionales del bienestar y el desarrollo de la región”.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CAF cerró el 2020 con un récord de más de USD 14.000 millones en aprobaciones de préstamos, la mayoría destinados a atender los efectos de la pandemia en la economía y en los sistemas de salud, así como a mejorar las infraestructuras digitales, terrestres y energéticas. Al cierre de su 50 aniversario, el organismo multilateral acumuló un total de más USD 200.000 millones aprobados desde 1970, para promover el desarrollo sostenible y la integración regional.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 es una de las principales fuentes de financiamiento multilateral y un importante 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Fonts w:ascii="Arial Narrow" w:cs="Arial Narrow" w:eastAsia="Arial Narrow" w:hAnsi="Arial Narrow"/>
          <w:color w:val="1155cc"/>
          <w:sz w:val="16"/>
          <w:szCs w:val="16"/>
          <w:rtl w:val="0"/>
        </w:rPr>
        <w:t xml:space="preserve">                      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Facebook: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/ Twitter: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line="240" w:lineRule="auto"/>
      <w:jc w:val="center"/>
      <w:rPr/>
    </w:pPr>
    <w:r w:rsidDel="00000000" w:rsidR="00000000" w:rsidRPr="00000000">
      <w:rPr>
        <w:color w:val="11204c"/>
        <w:sz w:val="20"/>
        <w:szCs w:val="20"/>
      </w:rPr>
      <w:drawing>
        <wp:inline distB="114300" distT="114300" distL="114300" distR="114300">
          <wp:extent cx="2438083" cy="7213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8083" cy="72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twitter.com/AgendaCAF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hyperlink" Target="mailto:prensa@caf.com" TargetMode="External"/><Relationship Id="rId8" Type="http://schemas.openxmlformats.org/officeDocument/2006/relationships/hyperlink" Target="https://www.facebook.com/CAF.America.Latin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